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1D51A" w14:textId="7D3B7E9E" w:rsidR="00D61C20" w:rsidRDefault="00F42005">
      <w:pPr>
        <w:spacing w:after="0"/>
        <w:ind w:left="54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88969A" wp14:editId="7AA35CC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2230" cy="720090"/>
            <wp:effectExtent l="0" t="0" r="1270" b="3810"/>
            <wp:wrapTight wrapText="bothSides">
              <wp:wrapPolygon edited="0">
                <wp:start x="0" y="0"/>
                <wp:lineTo x="0" y="21143"/>
                <wp:lineTo x="21312" y="21143"/>
                <wp:lineTo x="2131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F2408" w14:textId="3A5CA1BD" w:rsidR="00F42005" w:rsidRDefault="0053601B">
      <w:pPr>
        <w:spacing w:after="0"/>
        <w:ind w:left="54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ATELIERS Groupes de Parole</w:t>
      </w:r>
    </w:p>
    <w:p w14:paraId="6DC4AAEB" w14:textId="77777777" w:rsidR="00F42005" w:rsidRPr="00FA2137" w:rsidRDefault="00F42005" w:rsidP="00F42005">
      <w:pPr>
        <w:pStyle w:val="Sansinterligne"/>
        <w:ind w:left="3540" w:firstLine="708"/>
        <w:rPr>
          <w:b/>
          <w:bCs/>
          <w:sz w:val="40"/>
          <w:szCs w:val="40"/>
          <w:u w:val="single"/>
        </w:rPr>
      </w:pPr>
      <w:r w:rsidRPr="00FA2137">
        <w:rPr>
          <w:b/>
          <w:bCs/>
          <w:sz w:val="40"/>
          <w:szCs w:val="40"/>
          <w:u w:val="single"/>
        </w:rPr>
        <w:t>UNAFAM</w:t>
      </w:r>
    </w:p>
    <w:p w14:paraId="130EC29D" w14:textId="43A7BB13" w:rsidR="00F42005" w:rsidRDefault="00F42005">
      <w:pPr>
        <w:spacing w:after="0"/>
        <w:ind w:left="54"/>
        <w:jc w:val="center"/>
      </w:pPr>
    </w:p>
    <w:p w14:paraId="14C0995A" w14:textId="77777777" w:rsidR="00A87204" w:rsidRDefault="00A87204">
      <w:pPr>
        <w:spacing w:after="0"/>
        <w:ind w:left="54"/>
        <w:jc w:val="center"/>
      </w:pPr>
    </w:p>
    <w:tbl>
      <w:tblPr>
        <w:tblStyle w:val="TableGrid"/>
        <w:tblW w:w="10483" w:type="dxa"/>
        <w:tblInd w:w="-734" w:type="dxa"/>
        <w:tblCellMar>
          <w:top w:w="53" w:type="dxa"/>
          <w:right w:w="54" w:type="dxa"/>
        </w:tblCellMar>
        <w:tblLook w:val="04A0" w:firstRow="1" w:lastRow="0" w:firstColumn="1" w:lastColumn="0" w:noHBand="0" w:noVBand="1"/>
      </w:tblPr>
      <w:tblGrid>
        <w:gridCol w:w="1966"/>
        <w:gridCol w:w="8517"/>
      </w:tblGrid>
      <w:tr w:rsidR="00D61C20" w14:paraId="7BDAF3D8" w14:textId="77777777">
        <w:trPr>
          <w:trHeight w:val="1356"/>
        </w:trPr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79375D" w14:textId="77777777" w:rsidR="00D61C20" w:rsidRDefault="00A87204">
            <w:pPr>
              <w:spacing w:after="20"/>
              <w:ind w:left="122"/>
            </w:pPr>
            <w:r>
              <w:rPr>
                <w:b/>
                <w:sz w:val="24"/>
              </w:rPr>
              <w:t xml:space="preserve">Séance 1 </w:t>
            </w:r>
          </w:p>
          <w:p w14:paraId="5A4DBA5C" w14:textId="59521E71" w:rsidR="00D61C20" w:rsidRDefault="00D61C20">
            <w:pPr>
              <w:ind w:left="122"/>
            </w:pPr>
          </w:p>
        </w:tc>
        <w:tc>
          <w:tcPr>
            <w:tcW w:w="8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F33183" w14:textId="77777777" w:rsidR="00D61C20" w:rsidRDefault="00A87204">
            <w:pPr>
              <w:spacing w:after="20"/>
            </w:pPr>
            <w:r>
              <w:rPr>
                <w:b/>
                <w:sz w:val="24"/>
              </w:rPr>
              <w:t xml:space="preserve">Présentation du groupe </w:t>
            </w:r>
          </w:p>
          <w:p w14:paraId="76BF637A" w14:textId="77777777" w:rsidR="00D61C20" w:rsidRDefault="00A87204">
            <w:pPr>
              <w:spacing w:after="56"/>
            </w:pPr>
            <w:r>
              <w:rPr>
                <w:b/>
                <w:sz w:val="24"/>
              </w:rPr>
              <w:t>Mieux comprendre la maladie de mon proche (1/2)</w:t>
            </w:r>
            <w:r>
              <w:rPr>
                <w:sz w:val="24"/>
              </w:rPr>
              <w:t xml:space="preserve"> </w:t>
            </w:r>
          </w:p>
          <w:p w14:paraId="275826F3" w14:textId="332D5A39" w:rsidR="00D61C20" w:rsidRDefault="00A87204">
            <w:r>
              <w:rPr>
                <w:rFonts w:ascii="Wingdings" w:eastAsia="Wingdings" w:hAnsi="Wingdings" w:cs="Wingdings"/>
                <w:sz w:val="24"/>
              </w:rPr>
              <w:t>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Informations générales et approfondissement des connaissances sur les troubles psychiques </w:t>
            </w:r>
          </w:p>
        </w:tc>
      </w:tr>
      <w:tr w:rsidR="00D61C20" w14:paraId="65089D83" w14:textId="77777777">
        <w:trPr>
          <w:trHeight w:val="1358"/>
        </w:trPr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C98ED2" w14:textId="77777777" w:rsidR="00D61C20" w:rsidRDefault="00A87204">
            <w:pPr>
              <w:spacing w:after="22"/>
              <w:ind w:left="122"/>
            </w:pPr>
            <w:r>
              <w:rPr>
                <w:b/>
                <w:sz w:val="24"/>
              </w:rPr>
              <w:t xml:space="preserve">Séance 2 </w:t>
            </w:r>
          </w:p>
          <w:p w14:paraId="6478D0C0" w14:textId="3E66C9F0" w:rsidR="00D61C20" w:rsidRDefault="00D61C20">
            <w:pPr>
              <w:ind w:left="122"/>
            </w:pPr>
          </w:p>
        </w:tc>
        <w:tc>
          <w:tcPr>
            <w:tcW w:w="8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ED3403" w14:textId="77777777" w:rsidR="00D61C20" w:rsidRDefault="00A87204">
            <w:pPr>
              <w:spacing w:after="59"/>
            </w:pPr>
            <w:r>
              <w:rPr>
                <w:b/>
                <w:sz w:val="24"/>
              </w:rPr>
              <w:t xml:space="preserve">Mieux comprendre la maladie de mon proche (2/2) </w:t>
            </w:r>
          </w:p>
          <w:p w14:paraId="6BF11DE5" w14:textId="77777777" w:rsidR="00D61C20" w:rsidRDefault="00A87204">
            <w:pPr>
              <w:numPr>
                <w:ilvl w:val="0"/>
                <w:numId w:val="1"/>
              </w:numPr>
              <w:spacing w:after="57"/>
              <w:ind w:hanging="360"/>
            </w:pPr>
            <w:r>
              <w:rPr>
                <w:sz w:val="24"/>
              </w:rPr>
              <w:t xml:space="preserve">Approfondissement des connaissances sur les troubles psychiques (suite) </w:t>
            </w:r>
          </w:p>
          <w:p w14:paraId="1C14CCFC" w14:textId="77777777" w:rsidR="00D61C20" w:rsidRDefault="00A87204">
            <w:pPr>
              <w:numPr>
                <w:ilvl w:val="0"/>
                <w:numId w:val="1"/>
              </w:numPr>
              <w:ind w:hanging="360"/>
            </w:pPr>
            <w:r>
              <w:rPr>
                <w:sz w:val="24"/>
              </w:rPr>
              <w:t xml:space="preserve">Mieux comprendre les interactions avec les éventuels troubles associés (en particulier les conduites addictives) et les spécificités de leur prise en charge </w:t>
            </w:r>
          </w:p>
        </w:tc>
      </w:tr>
      <w:tr w:rsidR="00D61C20" w14:paraId="3E451076" w14:textId="77777777">
        <w:trPr>
          <w:trHeight w:val="1695"/>
        </w:trPr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8F8CC0" w14:textId="77777777" w:rsidR="00D61C20" w:rsidRDefault="00A87204">
            <w:pPr>
              <w:spacing w:after="20"/>
              <w:ind w:left="122"/>
            </w:pPr>
            <w:r>
              <w:rPr>
                <w:b/>
                <w:sz w:val="24"/>
              </w:rPr>
              <w:t xml:space="preserve">Séance 3 </w:t>
            </w:r>
          </w:p>
          <w:p w14:paraId="1C175348" w14:textId="085DE3D1" w:rsidR="00D61C20" w:rsidRDefault="00D61C20">
            <w:pPr>
              <w:ind w:left="122"/>
            </w:pPr>
          </w:p>
        </w:tc>
        <w:tc>
          <w:tcPr>
            <w:tcW w:w="8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E2A71B" w14:textId="77777777" w:rsidR="00D61C20" w:rsidRDefault="00A87204">
            <w:pPr>
              <w:spacing w:after="40"/>
            </w:pPr>
            <w:r>
              <w:rPr>
                <w:b/>
                <w:sz w:val="24"/>
              </w:rPr>
              <w:t xml:space="preserve">L’accompagnement médical et psychosocial </w:t>
            </w:r>
          </w:p>
          <w:p w14:paraId="14732ED6" w14:textId="77777777" w:rsidR="00F42005" w:rsidRDefault="00A87204">
            <w:pPr>
              <w:ind w:right="50"/>
              <w:jc w:val="both"/>
              <w:rPr>
                <w:sz w:val="24"/>
              </w:rPr>
            </w:pPr>
            <w:r>
              <w:rPr>
                <w:rFonts w:ascii="Wingdings" w:eastAsia="Wingdings" w:hAnsi="Wingdings" w:cs="Wingdings"/>
              </w:rPr>
              <w:t>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4"/>
              </w:rPr>
              <w:t xml:space="preserve">Comment se déroule l’accompagnement des personnes en situation de handicap psychique (les objectifs, l’élaboration du parcours d’accompagnement, les différents acteurs, les traitements médicamenteux et les prises en charge non </w:t>
            </w:r>
          </w:p>
          <w:p w14:paraId="23318842" w14:textId="77CC7CF1" w:rsidR="00D61C20" w:rsidRPr="00F42005" w:rsidRDefault="00F42005">
            <w:pPr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m</w:t>
            </w:r>
            <w:r w:rsidR="00A87204">
              <w:rPr>
                <w:sz w:val="24"/>
              </w:rPr>
              <w:t>édicamenteuses</w:t>
            </w:r>
            <w:r>
              <w:rPr>
                <w:sz w:val="24"/>
              </w:rPr>
              <w:t>.</w:t>
            </w:r>
          </w:p>
        </w:tc>
      </w:tr>
      <w:tr w:rsidR="00D61C20" w14:paraId="1D544378" w14:textId="77777777">
        <w:trPr>
          <w:trHeight w:val="1694"/>
        </w:trPr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955974" w14:textId="77777777" w:rsidR="00D61C20" w:rsidRDefault="00A87204">
            <w:pPr>
              <w:spacing w:after="22"/>
              <w:ind w:left="122"/>
            </w:pPr>
            <w:r>
              <w:rPr>
                <w:b/>
                <w:sz w:val="24"/>
              </w:rPr>
              <w:t xml:space="preserve">Séance 4 </w:t>
            </w:r>
          </w:p>
          <w:p w14:paraId="4E95A822" w14:textId="14F9846C" w:rsidR="00D61C20" w:rsidRDefault="00D61C20">
            <w:pPr>
              <w:ind w:left="122"/>
            </w:pPr>
          </w:p>
        </w:tc>
        <w:tc>
          <w:tcPr>
            <w:tcW w:w="8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5FF6E4" w14:textId="77777777" w:rsidR="00D61C20" w:rsidRDefault="00A87204">
            <w:pPr>
              <w:spacing w:after="42"/>
            </w:pPr>
            <w:r>
              <w:rPr>
                <w:b/>
                <w:sz w:val="24"/>
              </w:rPr>
              <w:t xml:space="preserve">Vie sociale et autonomie </w:t>
            </w:r>
          </w:p>
          <w:p w14:paraId="228F812A" w14:textId="77777777" w:rsidR="00D61C20" w:rsidRDefault="00A87204">
            <w:pPr>
              <w:numPr>
                <w:ilvl w:val="0"/>
                <w:numId w:val="2"/>
              </w:numPr>
              <w:spacing w:after="19" w:line="276" w:lineRule="auto"/>
              <w:ind w:hanging="360"/>
            </w:pPr>
            <w:r>
              <w:rPr>
                <w:sz w:val="24"/>
              </w:rPr>
              <w:t xml:space="preserve">Les prises en charge psychosociales : remédiation cognitive, entrainement aux habiletés sociales … </w:t>
            </w:r>
          </w:p>
          <w:p w14:paraId="765AF728" w14:textId="77777777" w:rsidR="00D61C20" w:rsidRDefault="00A87204">
            <w:pPr>
              <w:numPr>
                <w:ilvl w:val="0"/>
                <w:numId w:val="2"/>
              </w:numPr>
              <w:spacing w:after="43"/>
              <w:ind w:hanging="360"/>
            </w:pPr>
            <w:r>
              <w:rPr>
                <w:sz w:val="24"/>
              </w:rPr>
              <w:t xml:space="preserve">Place des activités extérieures et sociales  </w:t>
            </w:r>
          </w:p>
          <w:p w14:paraId="1AC89DA3" w14:textId="77777777" w:rsidR="00D61C20" w:rsidRDefault="00A87204">
            <w:pPr>
              <w:numPr>
                <w:ilvl w:val="0"/>
                <w:numId w:val="2"/>
              </w:numPr>
              <w:ind w:hanging="360"/>
            </w:pPr>
            <w:r>
              <w:rPr>
                <w:sz w:val="24"/>
              </w:rPr>
              <w:t xml:space="preserve">Autonomie (emploi, vie sociale, logement…) : quels accompagnements ? </w:t>
            </w:r>
          </w:p>
        </w:tc>
      </w:tr>
      <w:tr w:rsidR="00D61C20" w14:paraId="494B5537" w14:textId="77777777">
        <w:trPr>
          <w:trHeight w:val="1695"/>
        </w:trPr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AD107C" w14:textId="77777777" w:rsidR="00D61C20" w:rsidRDefault="00A87204">
            <w:pPr>
              <w:spacing w:after="22"/>
              <w:ind w:left="122"/>
            </w:pPr>
            <w:r>
              <w:rPr>
                <w:b/>
                <w:sz w:val="24"/>
              </w:rPr>
              <w:t xml:space="preserve">Séance 5 </w:t>
            </w:r>
          </w:p>
          <w:p w14:paraId="3E5E403C" w14:textId="7AE21AEA" w:rsidR="00D61C20" w:rsidRDefault="00D61C20">
            <w:pPr>
              <w:ind w:left="122"/>
            </w:pPr>
          </w:p>
        </w:tc>
        <w:tc>
          <w:tcPr>
            <w:tcW w:w="8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D319CF" w14:textId="77777777" w:rsidR="00D61C20" w:rsidRDefault="00A87204">
            <w:pPr>
              <w:spacing w:after="42"/>
            </w:pPr>
            <w:r>
              <w:rPr>
                <w:b/>
                <w:sz w:val="24"/>
              </w:rPr>
              <w:t xml:space="preserve">Prévention des rechutes </w:t>
            </w:r>
          </w:p>
          <w:p w14:paraId="7D91F622" w14:textId="77777777" w:rsidR="00D61C20" w:rsidRDefault="00A87204">
            <w:pPr>
              <w:numPr>
                <w:ilvl w:val="0"/>
                <w:numId w:val="3"/>
              </w:numPr>
              <w:spacing w:after="41"/>
              <w:ind w:hanging="360"/>
            </w:pPr>
            <w:r>
              <w:rPr>
                <w:sz w:val="24"/>
              </w:rPr>
              <w:t xml:space="preserve">Les principaux facteurs de rechute </w:t>
            </w:r>
          </w:p>
          <w:p w14:paraId="639C71AF" w14:textId="77777777" w:rsidR="00D61C20" w:rsidRDefault="00A87204">
            <w:pPr>
              <w:numPr>
                <w:ilvl w:val="0"/>
                <w:numId w:val="3"/>
              </w:numPr>
              <w:spacing w:after="40"/>
              <w:ind w:hanging="360"/>
            </w:pPr>
            <w:r>
              <w:rPr>
                <w:sz w:val="24"/>
              </w:rPr>
              <w:t xml:space="preserve">Comment apprendre à repérer les signes précurseurs ? </w:t>
            </w:r>
          </w:p>
          <w:p w14:paraId="03C21FD1" w14:textId="77777777" w:rsidR="00D61C20" w:rsidRDefault="00A87204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 xml:space="preserve">Quand et comment met-on en place un plan de prévention des rechutes ? La place de la famille dans le plan d’action.  </w:t>
            </w:r>
          </w:p>
        </w:tc>
      </w:tr>
      <w:tr w:rsidR="00D61C20" w14:paraId="3A8A515D" w14:textId="77777777">
        <w:trPr>
          <w:trHeight w:val="1020"/>
        </w:trPr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10F2F9" w14:textId="77777777" w:rsidR="00D61C20" w:rsidRDefault="00A87204">
            <w:pPr>
              <w:spacing w:after="22"/>
              <w:ind w:left="122"/>
            </w:pPr>
            <w:r>
              <w:rPr>
                <w:b/>
                <w:sz w:val="24"/>
              </w:rPr>
              <w:t xml:space="preserve">Séance 6 </w:t>
            </w:r>
          </w:p>
          <w:p w14:paraId="27462C0D" w14:textId="4F2F7C77" w:rsidR="00D61C20" w:rsidRDefault="00D61C20">
            <w:pPr>
              <w:ind w:left="122"/>
            </w:pPr>
          </w:p>
        </w:tc>
        <w:tc>
          <w:tcPr>
            <w:tcW w:w="8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14B049" w14:textId="77777777" w:rsidR="00D61C20" w:rsidRDefault="00A87204">
            <w:pPr>
              <w:spacing w:after="42"/>
            </w:pPr>
            <w:r>
              <w:rPr>
                <w:b/>
                <w:sz w:val="24"/>
              </w:rPr>
              <w:t>Communication</w:t>
            </w:r>
            <w:r>
              <w:rPr>
                <w:sz w:val="24"/>
              </w:rPr>
              <w:t xml:space="preserve">  </w:t>
            </w:r>
          </w:p>
          <w:p w14:paraId="16BBB7E4" w14:textId="6DBE96AF" w:rsidR="00D61C20" w:rsidRDefault="00A87204">
            <w:pPr>
              <w:jc w:val="both"/>
            </w:pPr>
            <w:r>
              <w:rPr>
                <w:rFonts w:ascii="Wingdings" w:eastAsia="Wingdings" w:hAnsi="Wingdings" w:cs="Wingdings"/>
              </w:rPr>
              <w:t>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4"/>
              </w:rPr>
              <w:t xml:space="preserve">Retour sur la formation « Communication » et approfondissement (rappel et retour sur ce qui a été mis en pratique…)  </w:t>
            </w:r>
          </w:p>
        </w:tc>
      </w:tr>
      <w:tr w:rsidR="00D61C20" w14:paraId="3F634438" w14:textId="77777777">
        <w:trPr>
          <w:trHeight w:val="684"/>
        </w:trPr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6024B7" w14:textId="77777777" w:rsidR="00D61C20" w:rsidRDefault="00A87204">
            <w:pPr>
              <w:spacing w:after="20"/>
              <w:ind w:left="122"/>
            </w:pPr>
            <w:r>
              <w:rPr>
                <w:b/>
                <w:sz w:val="24"/>
              </w:rPr>
              <w:t xml:space="preserve">Séance 7 </w:t>
            </w:r>
          </w:p>
          <w:p w14:paraId="6E6D68B4" w14:textId="6BC6CC00" w:rsidR="00D61C20" w:rsidRDefault="00D61C20">
            <w:pPr>
              <w:ind w:left="122"/>
            </w:pPr>
          </w:p>
        </w:tc>
        <w:tc>
          <w:tcPr>
            <w:tcW w:w="8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656B4A1" w14:textId="77777777" w:rsidR="00D61C20" w:rsidRDefault="00A87204">
            <w:pPr>
              <w:spacing w:after="40"/>
            </w:pPr>
            <w:r>
              <w:rPr>
                <w:b/>
                <w:sz w:val="24"/>
              </w:rPr>
              <w:t xml:space="preserve">Mieux gérer ses émotions  </w:t>
            </w:r>
          </w:p>
          <w:p w14:paraId="775C6C69" w14:textId="77777777" w:rsidR="00D61C20" w:rsidRDefault="00A87204">
            <w:r>
              <w:rPr>
                <w:rFonts w:ascii="Wingdings" w:eastAsia="Wingdings" w:hAnsi="Wingdings" w:cs="Wingdings"/>
              </w:rPr>
              <w:t>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4"/>
              </w:rPr>
              <w:t xml:space="preserve">Les techniques de gestion du stress, la pleine conscience </w:t>
            </w:r>
          </w:p>
          <w:p w14:paraId="2FB7F5F3" w14:textId="77777777" w:rsidR="00D61C20" w:rsidRDefault="00A87204">
            <w:r>
              <w:rPr>
                <w:sz w:val="24"/>
              </w:rPr>
              <w:t xml:space="preserve"> </w:t>
            </w:r>
          </w:p>
        </w:tc>
      </w:tr>
      <w:tr w:rsidR="00D61C20" w14:paraId="611D4E9E" w14:textId="77777777">
        <w:trPr>
          <w:trHeight w:val="1695"/>
        </w:trPr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3CE31F" w14:textId="77777777" w:rsidR="00D61C20" w:rsidRDefault="00A87204">
            <w:pPr>
              <w:spacing w:after="20"/>
              <w:ind w:left="122"/>
            </w:pPr>
            <w:r>
              <w:rPr>
                <w:b/>
                <w:sz w:val="24"/>
              </w:rPr>
              <w:t xml:space="preserve">Séance 8 </w:t>
            </w:r>
          </w:p>
          <w:p w14:paraId="60E200BD" w14:textId="448D15FC" w:rsidR="00D61C20" w:rsidRDefault="00D61C20">
            <w:pPr>
              <w:ind w:left="122"/>
            </w:pPr>
          </w:p>
        </w:tc>
        <w:tc>
          <w:tcPr>
            <w:tcW w:w="8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94342C0" w14:textId="77777777" w:rsidR="00D61C20" w:rsidRDefault="00A87204">
            <w:pPr>
              <w:spacing w:after="40"/>
            </w:pPr>
            <w:r>
              <w:rPr>
                <w:b/>
                <w:sz w:val="24"/>
              </w:rPr>
              <w:t xml:space="preserve">Mieux gérer ses émotions (suite) </w:t>
            </w:r>
          </w:p>
          <w:p w14:paraId="0464B5C4" w14:textId="77777777" w:rsidR="00D61C20" w:rsidRDefault="00A87204">
            <w:pPr>
              <w:numPr>
                <w:ilvl w:val="0"/>
                <w:numId w:val="4"/>
              </w:numPr>
              <w:spacing w:after="41"/>
              <w:ind w:hanging="360"/>
            </w:pPr>
            <w:r>
              <w:rPr>
                <w:sz w:val="24"/>
              </w:rPr>
              <w:t xml:space="preserve">Se préserver, trouver un équilibre, prendre du temps pour soi </w:t>
            </w:r>
          </w:p>
          <w:p w14:paraId="269DD6E7" w14:textId="77777777" w:rsidR="00D61C20" w:rsidRDefault="00A87204">
            <w:pPr>
              <w:numPr>
                <w:ilvl w:val="0"/>
                <w:numId w:val="4"/>
              </w:numPr>
              <w:spacing w:after="43"/>
              <w:ind w:hanging="360"/>
            </w:pPr>
            <w:r>
              <w:rPr>
                <w:sz w:val="24"/>
              </w:rPr>
              <w:t xml:space="preserve">Approche en psychologie positive  </w:t>
            </w:r>
          </w:p>
          <w:p w14:paraId="104A2653" w14:textId="77777777" w:rsidR="00D61C20" w:rsidRDefault="00A87204">
            <w:pPr>
              <w:numPr>
                <w:ilvl w:val="0"/>
                <w:numId w:val="4"/>
              </w:numPr>
              <w:spacing w:after="42"/>
              <w:ind w:hanging="360"/>
            </w:pPr>
            <w:r>
              <w:rPr>
                <w:sz w:val="24"/>
              </w:rPr>
              <w:t xml:space="preserve">Les thérapies ACT </w:t>
            </w:r>
          </w:p>
          <w:p w14:paraId="12DDC6B8" w14:textId="2A6427CB" w:rsidR="00D61C20" w:rsidRDefault="00A87204" w:rsidP="00F42005">
            <w:pPr>
              <w:numPr>
                <w:ilvl w:val="0"/>
                <w:numId w:val="4"/>
              </w:numPr>
              <w:ind w:hanging="360"/>
            </w:pPr>
            <w:r>
              <w:rPr>
                <w:sz w:val="24"/>
              </w:rPr>
              <w:t xml:space="preserve">Les solutions existantes pour « souffler » </w:t>
            </w:r>
            <w:r w:rsidRPr="00F42005">
              <w:rPr>
                <w:sz w:val="24"/>
              </w:rPr>
              <w:t xml:space="preserve"> </w:t>
            </w:r>
          </w:p>
        </w:tc>
      </w:tr>
      <w:tr w:rsidR="00D61C20" w14:paraId="1883A45C" w14:textId="77777777">
        <w:trPr>
          <w:trHeight w:val="684"/>
        </w:trPr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5DF211" w14:textId="77777777" w:rsidR="00D61C20" w:rsidRDefault="00A87204">
            <w:pPr>
              <w:spacing w:after="20"/>
              <w:ind w:left="122"/>
            </w:pPr>
            <w:r>
              <w:rPr>
                <w:b/>
                <w:sz w:val="24"/>
              </w:rPr>
              <w:lastRenderedPageBreak/>
              <w:t xml:space="preserve">Séance 9 </w:t>
            </w:r>
          </w:p>
          <w:p w14:paraId="7B1C5AE0" w14:textId="5F5765B8" w:rsidR="00D61C20" w:rsidRDefault="00D61C20">
            <w:pPr>
              <w:ind w:left="122"/>
            </w:pPr>
          </w:p>
        </w:tc>
        <w:tc>
          <w:tcPr>
            <w:tcW w:w="8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9D74860" w14:textId="77777777" w:rsidR="00D61C20" w:rsidRDefault="00A87204">
            <w:pPr>
              <w:spacing w:after="40"/>
            </w:pPr>
            <w:r>
              <w:rPr>
                <w:b/>
                <w:sz w:val="24"/>
              </w:rPr>
              <w:t>Questions administratives et juridiques</w:t>
            </w:r>
            <w:r>
              <w:rPr>
                <w:sz w:val="24"/>
              </w:rPr>
              <w:t xml:space="preserve">  </w:t>
            </w:r>
          </w:p>
          <w:p w14:paraId="23004E3D" w14:textId="77777777" w:rsidR="00D61C20" w:rsidRDefault="00A87204">
            <w:r>
              <w:rPr>
                <w:rFonts w:ascii="Wingdings" w:eastAsia="Wingdings" w:hAnsi="Wingdings" w:cs="Wingdings"/>
              </w:rPr>
              <w:t>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4"/>
              </w:rPr>
              <w:t xml:space="preserve">Vos droits, les droits de vos proches, les démarches administratives </w:t>
            </w:r>
          </w:p>
          <w:p w14:paraId="5DC638F3" w14:textId="77777777" w:rsidR="00D61C20" w:rsidRDefault="00A87204">
            <w:r>
              <w:rPr>
                <w:sz w:val="24"/>
              </w:rPr>
              <w:t xml:space="preserve"> </w:t>
            </w:r>
          </w:p>
        </w:tc>
      </w:tr>
      <w:tr w:rsidR="00D61C20" w14:paraId="0C2E447D" w14:textId="77777777">
        <w:trPr>
          <w:trHeight w:val="684"/>
        </w:trPr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452E59" w14:textId="77777777" w:rsidR="00D61C20" w:rsidRDefault="00A87204">
            <w:pPr>
              <w:spacing w:after="20"/>
              <w:ind w:left="122"/>
            </w:pPr>
            <w:r>
              <w:rPr>
                <w:b/>
                <w:sz w:val="24"/>
              </w:rPr>
              <w:t xml:space="preserve">Séance 10 </w:t>
            </w:r>
          </w:p>
          <w:p w14:paraId="320FC667" w14:textId="36E62EEB" w:rsidR="00D61C20" w:rsidRDefault="00D61C20">
            <w:pPr>
              <w:ind w:left="122"/>
            </w:pPr>
          </w:p>
        </w:tc>
        <w:tc>
          <w:tcPr>
            <w:tcW w:w="8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3B2E7E" w14:textId="77777777" w:rsidR="00D61C20" w:rsidRDefault="00A87204">
            <w:pPr>
              <w:spacing w:after="40"/>
            </w:pPr>
            <w:r>
              <w:rPr>
                <w:b/>
                <w:sz w:val="24"/>
              </w:rPr>
              <w:t xml:space="preserve">Synthèse </w:t>
            </w:r>
          </w:p>
          <w:p w14:paraId="53735FC7" w14:textId="77777777" w:rsidR="00D61C20" w:rsidRDefault="00A87204">
            <w:r>
              <w:rPr>
                <w:rFonts w:ascii="Wingdings" w:eastAsia="Wingdings" w:hAnsi="Wingdings" w:cs="Wingdings"/>
              </w:rPr>
              <w:t>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4"/>
              </w:rPr>
              <w:t xml:space="preserve">Retour sur l’ensemble des séances </w:t>
            </w:r>
          </w:p>
        </w:tc>
      </w:tr>
    </w:tbl>
    <w:p w14:paraId="6606382A" w14:textId="77777777" w:rsidR="00D61C20" w:rsidRDefault="00A87204">
      <w:pPr>
        <w:spacing w:after="0"/>
        <w:ind w:left="54"/>
        <w:jc w:val="center"/>
      </w:pPr>
      <w:r>
        <w:rPr>
          <w:sz w:val="24"/>
        </w:rPr>
        <w:t xml:space="preserve"> </w:t>
      </w:r>
    </w:p>
    <w:sectPr w:rsidR="00D61C2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F32D6"/>
    <w:multiLevelType w:val="hybridMultilevel"/>
    <w:tmpl w:val="D14CF9BC"/>
    <w:lvl w:ilvl="0" w:tplc="4A866B9C">
      <w:start w:val="1"/>
      <w:numFmt w:val="bullet"/>
      <w:lvlText w:val="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26084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648CF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9E629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6CDB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5ACCF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323BA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6E133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C2E59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9A35F1"/>
    <w:multiLevelType w:val="hybridMultilevel"/>
    <w:tmpl w:val="143ECB14"/>
    <w:lvl w:ilvl="0" w:tplc="52FE31E8">
      <w:start w:val="1"/>
      <w:numFmt w:val="bullet"/>
      <w:lvlText w:val="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7A045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D02E7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008D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C0E5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085C5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DC1FE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8B3E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2AFF9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E425FD"/>
    <w:multiLevelType w:val="hybridMultilevel"/>
    <w:tmpl w:val="17ACA54C"/>
    <w:lvl w:ilvl="0" w:tplc="C762758E">
      <w:start w:val="1"/>
      <w:numFmt w:val="bullet"/>
      <w:lvlText w:val="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0BB0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846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8D8D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E0566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695E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01BD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8352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F849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B9372F"/>
    <w:multiLevelType w:val="hybridMultilevel"/>
    <w:tmpl w:val="A3CEAD64"/>
    <w:lvl w:ilvl="0" w:tplc="8B50025E">
      <w:start w:val="1"/>
      <w:numFmt w:val="bullet"/>
      <w:lvlText w:val="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F00B5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24D3F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F44CA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9267B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EE78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DEF1C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3439B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E0776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20"/>
    <w:rsid w:val="0053601B"/>
    <w:rsid w:val="00A87204"/>
    <w:rsid w:val="00D61C20"/>
    <w:rsid w:val="00F4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010D"/>
  <w15:docId w15:val="{FE11ACFD-4175-4E47-ABB8-1B7F41D2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F4200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cp:lastModifiedBy>Unafam PACA</cp:lastModifiedBy>
  <cp:revision>2</cp:revision>
  <dcterms:created xsi:type="dcterms:W3CDTF">2021-04-11T08:30:00Z</dcterms:created>
  <dcterms:modified xsi:type="dcterms:W3CDTF">2021-04-11T08:30:00Z</dcterms:modified>
</cp:coreProperties>
</file>